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Secure Software Development</w:t>
        <w:br/>
        <w:t>Lifecycle Policy</w:t>
      </w:r>
    </w:p>
    <w:p>
      <w:pPr>
        <w:jc w:val="center"/>
      </w:pPr>
      <w:r>
        <w:rPr>
          <w:color w:val="64748B"/>
          <w:sz w:val="28"/>
        </w:rPr>
        <w:t>Comprehensive SSDLC Policy Document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policy establishes the Secure Software Development Lifecycle (SSDLC) framework for [ORGANIZATION NAME]. It defines the security activities, controls, and governance processes required at each phase of the software development lifecycle to ensure that software is designed, developed, tested, and maintained securely.</w:t>
      </w:r>
    </w:p>
    <w:p>
      <w:pPr>
        <w:pStyle w:val="Heading1"/>
      </w:pPr>
      <w:r>
        <w:t>2. Scope</w:t>
      </w:r>
    </w:p>
    <w:p>
      <w:r>
        <w:t>This policy applies to all software developed, acquired, or modified by or on behalf of [ORGANIZATION NAME], including:</w:t>
      </w:r>
    </w:p>
    <w:p>
      <w:pPr>
        <w:pStyle w:val="ListBullet"/>
      </w:pPr>
      <w:r>
        <w:t>Internally developed applications and services</w:t>
      </w:r>
    </w:p>
    <w:p>
      <w:pPr>
        <w:pStyle w:val="ListBullet"/>
      </w:pPr>
      <w:r>
        <w:t>Custom software developed by third-party contractors</w:t>
      </w:r>
    </w:p>
    <w:p>
      <w:pPr>
        <w:pStyle w:val="ListBullet"/>
      </w:pPr>
      <w:r>
        <w:t>Modifications to commercial off-the-shelf (COTS) software</w:t>
      </w:r>
    </w:p>
    <w:p>
      <w:pPr>
        <w:pStyle w:val="ListBullet"/>
      </w:pPr>
      <w:r>
        <w:t>Open-source software integrated into [ORGANIZATION NAME] systems</w:t>
      </w:r>
    </w:p>
    <w:p>
      <w:pPr>
        <w:pStyle w:val="ListBullet"/>
      </w:pPr>
      <w:r>
        <w:t>AI-generated or AI-assisted code</w:t>
      </w:r>
    </w:p>
    <w:p>
      <w:pPr>
        <w:pStyle w:val="ListBullet"/>
      </w:pPr>
      <w:r>
        <w:t>APIs, microservices, and serverless functions</w:t>
      </w:r>
    </w:p>
    <w:p>
      <w:pPr>
        <w:pStyle w:val="ListBullet"/>
      </w:pPr>
      <w:r>
        <w:t>Mobile applications and web applications</w:t>
      </w:r>
    </w:p>
    <w:p>
      <w:pPr>
        <w:pStyle w:val="Heading1"/>
      </w:pPr>
      <w:r>
        <w:t>3. Policy Statements</w:t>
      </w:r>
    </w:p>
    <w:p>
      <w:pPr>
        <w:pStyle w:val="Heading2"/>
      </w:pPr>
      <w:r>
        <w:t>3.1 Governance and Oversight</w:t>
      </w:r>
    </w:p>
    <w:p>
      <w:r>
        <w:t>[ORGANIZATION NAME] shall establish a Software Security Governance Board responsible for:</w:t>
      </w:r>
    </w:p>
    <w:p>
      <w:pPr>
        <w:pStyle w:val="ListBullet"/>
      </w:pPr>
      <w:r>
        <w:t>Approving and maintaining SSDLC policies and standards</w:t>
      </w:r>
    </w:p>
    <w:p>
      <w:pPr>
        <w:pStyle w:val="ListBullet"/>
      </w:pPr>
      <w:r>
        <w:t>Reviewing security metrics and program effectiveness</w:t>
      </w:r>
    </w:p>
    <w:p>
      <w:pPr>
        <w:pStyle w:val="ListBullet"/>
      </w:pPr>
      <w:r>
        <w:t>Managing exceptions and risk acceptances</w:t>
      </w:r>
    </w:p>
    <w:p>
      <w:pPr>
        <w:pStyle w:val="ListBullet"/>
      </w:pPr>
      <w:r>
        <w:t>Ensuring alignment with regulatory and compliance requirements</w:t>
      </w:r>
    </w:p>
    <w:p>
      <w:pPr>
        <w:pStyle w:val="Heading2"/>
      </w:pPr>
      <w:r>
        <w:t>3.2 Requirements Phase</w:t>
      </w:r>
    </w:p>
    <w:p>
      <w:r>
        <w:t>All software projects shall include security requirements derived from:</w:t>
      </w:r>
    </w:p>
    <w:p>
      <w:pPr>
        <w:pStyle w:val="ListBullet"/>
      </w:pPr>
      <w:r>
        <w:t>Regulatory and compliance obligations (e.g., PCI DSS, HIPAA, GDPR)</w:t>
      </w:r>
    </w:p>
    <w:p>
      <w:pPr>
        <w:pStyle w:val="ListBullet"/>
      </w:pPr>
      <w:r>
        <w:t>Industry standards (e.g., OWASP ASVS, CIS Controls)</w:t>
      </w:r>
    </w:p>
    <w:p>
      <w:pPr>
        <w:pStyle w:val="ListBullet"/>
      </w:pPr>
      <w:r>
        <w:t>Organizational risk assessments and threat intelligence</w:t>
      </w:r>
    </w:p>
    <w:p>
      <w:pPr>
        <w:pStyle w:val="ListBullet"/>
      </w:pPr>
      <w:r>
        <w:t>Privacy impact assessments where applicable</w:t>
      </w:r>
    </w:p>
    <w:p>
      <w:pPr>
        <w:pStyle w:val="ListBullet"/>
      </w:pPr>
      <w:r>
        <w:t>Data classification requirements</w:t>
      </w:r>
    </w:p>
    <w:p>
      <w:pPr>
        <w:pStyle w:val="Heading2"/>
      </w:pPr>
      <w:r>
        <w:t>3.3 Design Phase</w:t>
      </w:r>
    </w:p>
    <w:p>
      <w:r>
        <w:t>The design phase shall incorporate:</w:t>
      </w:r>
    </w:p>
    <w:p>
      <w:pPr>
        <w:pStyle w:val="ListBullet"/>
      </w:pPr>
      <w:r>
        <w:t>Threat modeling for all new applications and significant changes</w:t>
      </w:r>
    </w:p>
    <w:p>
      <w:pPr>
        <w:pStyle w:val="ListBullet"/>
      </w:pPr>
      <w:r>
        <w:t>Security architecture reviews</w:t>
      </w:r>
    </w:p>
    <w:p>
      <w:pPr>
        <w:pStyle w:val="ListBullet"/>
      </w:pPr>
      <w:r>
        <w:t>Secure design patterns and principles (defense in depth, least privilege, fail-safe defaults)</w:t>
      </w:r>
    </w:p>
    <w:p>
      <w:pPr>
        <w:pStyle w:val="ListBullet"/>
      </w:pPr>
      <w:r>
        <w:t>Privacy by design considerations</w:t>
      </w:r>
    </w:p>
    <w:p>
      <w:pPr>
        <w:pStyle w:val="ListBullet"/>
      </w:pPr>
      <w:r>
        <w:t>Cryptographic standards compliance</w:t>
      </w:r>
    </w:p>
    <w:p>
      <w:pPr>
        <w:pStyle w:val="Heading2"/>
      </w:pPr>
      <w:r>
        <w:t>3.4 Implementation Phase</w:t>
      </w:r>
    </w:p>
    <w:p>
      <w:r>
        <w:t>Development teams shall adhere to:</w:t>
      </w:r>
    </w:p>
    <w:p>
      <w:pPr>
        <w:pStyle w:val="ListBullet"/>
      </w:pPr>
      <w:r>
        <w:t>Approved secure coding standards and guidelines</w:t>
      </w:r>
    </w:p>
    <w:p>
      <w:pPr>
        <w:pStyle w:val="ListBullet"/>
      </w:pPr>
      <w:r>
        <w:t>Use of approved security libraries and vetted components</w:t>
      </w:r>
    </w:p>
    <w:p>
      <w:pPr>
        <w:pStyle w:val="ListBullet"/>
      </w:pPr>
      <w:r>
        <w:t>Mandatory code review for all changes, including security-focused review</w:t>
      </w:r>
    </w:p>
    <w:p>
      <w:pPr>
        <w:pStyle w:val="ListBullet"/>
      </w:pPr>
      <w:r>
        <w:t>Secrets management practices — no hardcoded credentials or secrets</w:t>
      </w:r>
    </w:p>
    <w:p>
      <w:pPr>
        <w:pStyle w:val="ListBullet"/>
      </w:pPr>
      <w:r>
        <w:t>AI-assisted coding guardrails and verification requirements</w:t>
      </w:r>
    </w:p>
    <w:p>
      <w:pPr>
        <w:pStyle w:val="Heading2"/>
      </w:pPr>
      <w:r>
        <w:t>3.5 Testing Phase</w:t>
      </w:r>
    </w:p>
    <w:p>
      <w:r>
        <w:t>Security testing shall include:</w:t>
      </w:r>
    </w:p>
    <w:p>
      <w:pPr>
        <w:pStyle w:val="ListBullet"/>
      </w:pPr>
      <w:r>
        <w:t>Static Application Security Testing (SAST) integrated into CI/CD pipelines</w:t>
      </w:r>
    </w:p>
    <w:p>
      <w:pPr>
        <w:pStyle w:val="ListBullet"/>
      </w:pPr>
      <w:r>
        <w:t>Dynamic Application Security Testing (DAST) in staging environments</w:t>
      </w:r>
    </w:p>
    <w:p>
      <w:pPr>
        <w:pStyle w:val="ListBullet"/>
      </w:pPr>
      <w:r>
        <w:t>Software Composition Analysis (SCA) for dependency vulnerabilities</w:t>
      </w:r>
    </w:p>
    <w:p>
      <w:pPr>
        <w:pStyle w:val="ListBullet"/>
      </w:pPr>
      <w:r>
        <w:t>Penetration testing for high-risk applications on a defined schedule</w:t>
      </w:r>
    </w:p>
    <w:p>
      <w:pPr>
        <w:pStyle w:val="ListBullet"/>
      </w:pPr>
      <w:r>
        <w:t>Verification of AI-generated code for security defects</w:t>
      </w:r>
    </w:p>
    <w:p>
      <w:pPr>
        <w:pStyle w:val="Heading2"/>
      </w:pPr>
      <w:r>
        <w:t>3.6 Deployment Phase</w:t>
      </w:r>
    </w:p>
    <w:p>
      <w:r>
        <w:t>Deployment processes shall ensure:</w:t>
      </w:r>
    </w:p>
    <w:p>
      <w:pPr>
        <w:pStyle w:val="ListBullet"/>
      </w:pPr>
      <w:r>
        <w:t>Secure CI/CD pipeline configurations</w:t>
      </w:r>
    </w:p>
    <w:p>
      <w:pPr>
        <w:pStyle w:val="ListBullet"/>
      </w:pPr>
      <w:r>
        <w:t>Software Bill of Materials (SBOM) generation and verification</w:t>
      </w:r>
    </w:p>
    <w:p>
      <w:pPr>
        <w:pStyle w:val="ListBullet"/>
      </w:pPr>
      <w:r>
        <w:t>Container and infrastructure hardening</w:t>
      </w:r>
    </w:p>
    <w:p>
      <w:pPr>
        <w:pStyle w:val="ListBullet"/>
      </w:pPr>
      <w:r>
        <w:t>Environment separation (development, staging, production)</w:t>
      </w:r>
    </w:p>
    <w:p>
      <w:pPr>
        <w:pStyle w:val="ListBullet"/>
      </w:pPr>
      <w:r>
        <w:t>Change management and release control procedures</w:t>
      </w:r>
    </w:p>
    <w:p>
      <w:pPr>
        <w:pStyle w:val="Heading2"/>
      </w:pPr>
      <w:r>
        <w:t>3.7 Operations and Maintenance Phase</w:t>
      </w:r>
    </w:p>
    <w:p>
      <w:r>
        <w:t>Ongoing security operations shall include:</w:t>
      </w:r>
    </w:p>
    <w:p>
      <w:pPr>
        <w:pStyle w:val="ListBullet"/>
      </w:pPr>
      <w:r>
        <w:t>Vulnerability management and patching</w:t>
      </w:r>
    </w:p>
    <w:p>
      <w:pPr>
        <w:pStyle w:val="ListBullet"/>
      </w:pPr>
      <w:r>
        <w:t>Security monitoring and logging</w:t>
      </w:r>
    </w:p>
    <w:p>
      <w:pPr>
        <w:pStyle w:val="ListBullet"/>
      </w:pPr>
      <w:r>
        <w:t>Incident response procedures for development teams</w:t>
      </w:r>
    </w:p>
    <w:p>
      <w:pPr>
        <w:pStyle w:val="ListBullet"/>
      </w:pPr>
      <w:r>
        <w:t>Regular dependency updates and license compliance</w:t>
      </w:r>
    </w:p>
    <w:p>
      <w:pPr>
        <w:pStyle w:val="ListBullet"/>
      </w:pPr>
      <w:r>
        <w:t>Periodic security assessments and program maturity reviews</w:t>
      </w:r>
    </w:p>
    <w:p>
      <w:pPr>
        <w:pStyle w:val="Heading2"/>
      </w:pPr>
      <w:r>
        <w:t>3.8 Retirement/Decommissioning Phase</w:t>
      </w:r>
    </w:p>
    <w:p>
      <w:r>
        <w:t>Software decommissioning shall follow a documented plan covering:</w:t>
      </w:r>
    </w:p>
    <w:p>
      <w:pPr>
        <w:pStyle w:val="ListBullet"/>
      </w:pPr>
      <w:r>
        <w:t>Data migration and secure data destruction</w:t>
      </w:r>
    </w:p>
    <w:p>
      <w:pPr>
        <w:pStyle w:val="ListBullet"/>
      </w:pPr>
      <w:r>
        <w:t>Dependency analysis and consumer notification</w:t>
      </w:r>
    </w:p>
    <w:p>
      <w:pPr>
        <w:pStyle w:val="ListBullet"/>
      </w:pPr>
      <w:r>
        <w:t>Credential and secret rotation/revocation</w:t>
      </w:r>
    </w:p>
    <w:p>
      <w:pPr>
        <w:pStyle w:val="ListBullet"/>
      </w:pPr>
      <w:r>
        <w:t>DNS and endpoint cleanup</w:t>
      </w:r>
    </w:p>
    <w:p>
      <w:pPr>
        <w:pStyle w:val="ListBullet"/>
      </w:pPr>
      <w:r>
        <w:t>Post-decommission verification</w:t>
      </w:r>
    </w:p>
    <w:p>
      <w:pPr>
        <w:pStyle w:val="Heading1"/>
      </w:pPr>
      <w:r>
        <w:t>4. Roles and Responsibilities</w:t>
      </w:r>
    </w:p>
    <w:p>
      <w:r>
        <w:t>The following roles bear responsibility for SSDLC activities:</w:t>
      </w:r>
    </w:p>
    <w:p>
      <w:pPr>
        <w:pStyle w:val="ListBullet"/>
      </w:pPr>
      <w:r>
        <w:t>Executive Sponsor — Provides budget and organizational support</w:t>
      </w:r>
    </w:p>
    <w:p>
      <w:pPr>
        <w:pStyle w:val="ListBullet"/>
      </w:pPr>
      <w:r>
        <w:t>CISO/Security Leadership — Sets policy direction and risk appetite</w:t>
      </w:r>
    </w:p>
    <w:p>
      <w:pPr>
        <w:pStyle w:val="ListBullet"/>
      </w:pPr>
      <w:r>
        <w:t>Security Champions — Embedded security advocates within development teams</w:t>
      </w:r>
    </w:p>
    <w:p>
      <w:pPr>
        <w:pStyle w:val="ListBullet"/>
      </w:pPr>
      <w:r>
        <w:t>Development Teams — Implement secure coding practices and testing</w:t>
      </w:r>
    </w:p>
    <w:p>
      <w:pPr>
        <w:pStyle w:val="ListBullet"/>
      </w:pPr>
      <w:r>
        <w:t>QA/Testing Teams — Execute security testing and validation</w:t>
      </w:r>
    </w:p>
    <w:p>
      <w:pPr>
        <w:pStyle w:val="ListBullet"/>
      </w:pPr>
      <w:r>
        <w:t>DevOps/Platform Teams — Maintain secure CI/CD pipelines and infrastructure</w:t>
      </w:r>
    </w:p>
    <w:p>
      <w:pPr>
        <w:pStyle w:val="ListBullet"/>
      </w:pPr>
      <w:r>
        <w:t>Project/Product Managers — Ensure security requirements are included in planning</w:t>
      </w:r>
    </w:p>
    <w:p>
      <w:pPr>
        <w:pStyle w:val="Heading1"/>
      </w:pPr>
      <w:r>
        <w:t>5. Training Requirements</w:t>
      </w:r>
    </w:p>
    <w:p>
      <w:r>
        <w:t>[ORGANIZATION NAME] shall provide annual secure development training to all personnel involved in software development. Training shall cover the OWASP Top 10, secure coding practices, and role-specific security topics.</w:t>
      </w:r>
    </w:p>
    <w:p>
      <w:pPr>
        <w:pStyle w:val="Heading1"/>
      </w:pPr>
      <w:r>
        <w:t>6. Metrics and Reporting</w:t>
      </w:r>
    </w:p>
    <w:p>
      <w:r>
        <w:t>The following metrics shall be tracked and reported quarterly:</w:t>
      </w:r>
    </w:p>
    <w:p>
      <w:pPr>
        <w:pStyle w:val="ListBullet"/>
      </w:pPr>
      <w:r>
        <w:t>Mean time to remediate (MTTR) for vulnerabilities by severity</w:t>
      </w:r>
    </w:p>
    <w:p>
      <w:pPr>
        <w:pStyle w:val="ListBullet"/>
      </w:pPr>
      <w:r>
        <w:t>Vulnerability escape rate (defects found post-deployment)</w:t>
      </w:r>
    </w:p>
    <w:p>
      <w:pPr>
        <w:pStyle w:val="ListBullet"/>
      </w:pPr>
      <w:r>
        <w:t>Percentage of projects with completed threat models</w:t>
      </w:r>
    </w:p>
    <w:p>
      <w:pPr>
        <w:pStyle w:val="ListBullet"/>
      </w:pPr>
      <w:r>
        <w:t>SAST/DAST coverage across the application portfolio</w:t>
      </w:r>
    </w:p>
    <w:p>
      <w:pPr>
        <w:pStyle w:val="ListBullet"/>
      </w:pPr>
      <w:r>
        <w:t>Training completion rates</w:t>
      </w:r>
    </w:p>
    <w:p>
      <w:pPr>
        <w:pStyle w:val="ListBullet"/>
      </w:pPr>
      <w:r>
        <w:t>Exception/waiver counts and aging</w:t>
      </w:r>
    </w:p>
    <w:p>
      <w:pPr>
        <w:pStyle w:val="Heading1"/>
      </w:pPr>
      <w:r>
        <w:t>7. Exceptions</w:t>
      </w:r>
    </w:p>
    <w:p>
      <w:r>
        <w:t>Exceptions to this policy must be documented, risk-assessed, time-limited, and approved by [APPROVING AUTHORITY]. All exceptions shall be reviewed at least quarterly.</w:t>
      </w:r>
    </w:p>
    <w:p>
      <w:pPr>
        <w:pStyle w:val="Heading1"/>
      </w:pPr>
      <w:r>
        <w:t>8. Enforcement</w:t>
      </w:r>
    </w:p>
    <w:p>
      <w:r>
        <w:t>Violations of this policy may result in disciplinary action up to and including termination of employment or contract. Non-compliant software may be prohibited from deployment to production environments.</w:t>
      </w:r>
    </w:p>
    <w:p>
      <w:pPr>
        <w:pStyle w:val="Heading1"/>
      </w:pPr>
      <w:r>
        <w:t>9. Related Documents</w:t>
      </w:r>
    </w:p>
    <w:p>
      <w:pPr>
        <w:pStyle w:val="ListBullet"/>
      </w:pPr>
      <w:r>
        <w:t>[ORGANIZATION NAME] Information Security Policy</w:t>
      </w:r>
    </w:p>
    <w:p>
      <w:pPr>
        <w:pStyle w:val="ListBullet"/>
      </w:pPr>
      <w:r>
        <w:t>[ORGANIZATION NAME] Acceptable Use Policy</w:t>
      </w:r>
    </w:p>
    <w:p>
      <w:pPr>
        <w:pStyle w:val="ListBullet"/>
      </w:pPr>
      <w:r>
        <w:t>[ORGANIZATION NAME] Incident Response Plan</w:t>
      </w:r>
    </w:p>
    <w:p>
      <w:pPr>
        <w:pStyle w:val="ListBullet"/>
      </w:pPr>
      <w:r>
        <w:t>[ORGANIZATION NAME] Change Management Policy</w:t>
      </w:r>
    </w:p>
    <w:p>
      <w:pPr>
        <w:pStyle w:val="ListBullet"/>
      </w:pPr>
      <w:r>
        <w:t>[ORGANIZATION NAME] Data Classification Policy</w:t>
      </w:r>
    </w:p>
    <w:p>
      <w:pPr>
        <w:pStyle w:val="Heading1"/>
      </w:pPr>
      <w:r>
        <w:t>10. Review Cycle</w:t>
      </w:r>
    </w:p>
    <w:p>
      <w:r>
        <w:t>This policy shall be reviewed and updated at least annually, or more frequently when significant changes occur in the threat landscape, regulatory environment, or organizational structure.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