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Software Decommissioning</w:t>
        <w:br/>
        <w:t>Plan</w:t>
      </w:r>
    </w:p>
    <w:p>
      <w:pPr>
        <w:jc w:val="center"/>
      </w:pPr>
      <w:r>
        <w:rPr>
          <w:color w:val="64748B"/>
          <w:sz w:val="28"/>
        </w:rPr>
        <w:t>Secure Retirement of Software Systems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plan provides a structured approach for securely decommissioning software applications and services at [ORGANIZATION NAME]. It ensures that retired systems do not leave residual security risks, orphaned data, or unmanaged dependencies.</w:t>
      </w:r>
    </w:p>
    <w:p>
      <w:pPr>
        <w:pStyle w:val="Heading1"/>
      </w:pPr>
      <w:r>
        <w:t>2. System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172A" w:val="clear"/>
          </w:tcPr>
          <w:p>
            <w:r>
              <w:rPr>
                <w:b/>
                <w:color w:val="FFFFFF"/>
              </w:rPr>
              <w:t>Field</w:t>
            </w:r>
          </w:p>
        </w:tc>
        <w:tc>
          <w:tcPr>
            <w:tcW w:type="dxa" w:w="4680"/>
            <w:shd w:fill="0F172A" w:val="clear"/>
          </w:tcPr>
          <w:p>
            <w:r>
              <w:rPr>
                <w:b/>
                <w:color w:val="FFFFFF"/>
              </w:rPr>
              <w:t>Value</w:t>
            </w:r>
          </w:p>
        </w:tc>
      </w:tr>
      <w:tr>
        <w:tc>
          <w:tcPr>
            <w:tcW w:type="dxa" w:w="4680"/>
          </w:tcPr>
          <w:p>
            <w:r>
              <w:t>System Name</w:t>
            </w:r>
          </w:p>
        </w:tc>
        <w:tc>
          <w:tcPr>
            <w:tcW w:type="dxa" w:w="4680"/>
          </w:tcPr>
          <w:p>
            <w:r>
              <w:t>[SYSTEM NAME]</w:t>
            </w:r>
          </w:p>
        </w:tc>
      </w:tr>
      <w:tr>
        <w:tc>
          <w:tcPr>
            <w:tcW w:type="dxa" w:w="4680"/>
          </w:tcPr>
          <w:p>
            <w:r>
              <w:t>System Owner</w:t>
            </w:r>
          </w:p>
        </w:tc>
        <w:tc>
          <w:tcPr>
            <w:tcW w:type="dxa" w:w="4680"/>
          </w:tcPr>
          <w:p>
            <w:r>
              <w:t>[NAME AND TITLE]</w:t>
            </w:r>
          </w:p>
        </w:tc>
      </w:tr>
      <w:tr>
        <w:tc>
          <w:tcPr>
            <w:tcW w:type="dxa" w:w="4680"/>
          </w:tcPr>
          <w:p>
            <w:r>
              <w:t>Business Unit</w:t>
            </w:r>
          </w:p>
        </w:tc>
        <w:tc>
          <w:tcPr>
            <w:tcW w:type="dxa" w:w="4680"/>
          </w:tcPr>
          <w:p>
            <w:r>
              <w:t>[BUSINESS UNIT]</w:t>
            </w:r>
          </w:p>
        </w:tc>
      </w:tr>
      <w:tr>
        <w:tc>
          <w:tcPr>
            <w:tcW w:type="dxa" w:w="4680"/>
          </w:tcPr>
          <w:p>
            <w:r>
              <w:t>Decommission Date</w:t>
            </w:r>
          </w:p>
        </w:tc>
        <w:tc>
          <w:tcPr>
            <w:tcW w:type="dxa" w:w="4680"/>
          </w:tcPr>
          <w:p>
            <w:r>
              <w:t>[TARGET DATE]</w:t>
            </w:r>
          </w:p>
        </w:tc>
      </w:tr>
      <w:tr>
        <w:tc>
          <w:tcPr>
            <w:tcW w:type="dxa" w:w="4680"/>
          </w:tcPr>
          <w:p>
            <w:r>
              <w:t>Reason for Decommission</w:t>
            </w:r>
          </w:p>
        </w:tc>
        <w:tc>
          <w:tcPr>
            <w:tcW w:type="dxa" w:w="4680"/>
          </w:tcPr>
          <w:p>
            <w:r>
              <w:t>[e.g., Replaced by new system, End of life, Business need eliminated]</w:t>
            </w:r>
          </w:p>
        </w:tc>
      </w:tr>
      <w:tr>
        <w:tc>
          <w:tcPr>
            <w:tcW w:type="dxa" w:w="4680"/>
          </w:tcPr>
          <w:p>
            <w:r>
              <w:t>Replacement System</w:t>
            </w:r>
          </w:p>
        </w:tc>
        <w:tc>
          <w:tcPr>
            <w:tcW w:type="dxa" w:w="4680"/>
          </w:tcPr>
          <w:p>
            <w:r>
              <w:t>[NEW SYSTEM NAME or N/A]</w:t>
            </w:r>
          </w:p>
        </w:tc>
      </w:tr>
      <w:tr>
        <w:tc>
          <w:tcPr>
            <w:tcW w:type="dxa" w:w="4680"/>
          </w:tcPr>
          <w:p>
            <w:r>
              <w:t>Data Classification</w:t>
            </w:r>
          </w:p>
        </w:tc>
        <w:tc>
          <w:tcPr>
            <w:tcW w:type="dxa" w:w="4680"/>
          </w:tcPr>
          <w:p>
            <w:r>
              <w:t>[PUBLIC / INTERNAL / CONFIDENTIAL / RESTRICTED]</w:t>
            </w:r>
          </w:p>
        </w:tc>
      </w:tr>
    </w:tbl>
    <w:p>
      <w:pPr>
        <w:pStyle w:val="Heading1"/>
      </w:pPr>
      <w:r>
        <w:t>3. Pre-Decommission Assessment</w:t>
      </w:r>
    </w:p>
    <w:p>
      <w:pPr>
        <w:pStyle w:val="Heading2"/>
      </w:pPr>
      <w:r>
        <w:t>3.1 Dependency Analysis</w:t>
      </w:r>
    </w:p>
    <w:p>
      <w:r>
        <w:t>Identify all upstream and downstream dependencies:</w:t>
      </w:r>
    </w:p>
    <w:p>
      <w:pPr>
        <w:pStyle w:val="ListBullet"/>
      </w:pPr>
      <w:r>
        <w:t>Systems that consume APIs or data from this system: [LIST]</w:t>
      </w:r>
    </w:p>
    <w:p>
      <w:pPr>
        <w:pStyle w:val="ListBullet"/>
      </w:pPr>
      <w:r>
        <w:t>Systems that this system depends on: [LIST]</w:t>
      </w:r>
    </w:p>
    <w:p>
      <w:pPr>
        <w:pStyle w:val="ListBullet"/>
      </w:pPr>
      <w:r>
        <w:t>Shared databases or data stores: [LIST]</w:t>
      </w:r>
    </w:p>
    <w:p>
      <w:pPr>
        <w:pStyle w:val="ListBullet"/>
      </w:pPr>
      <w:r>
        <w:t>Shared authentication or authorization services: [LIST]</w:t>
      </w:r>
    </w:p>
    <w:p>
      <w:pPr>
        <w:pStyle w:val="ListBullet"/>
      </w:pPr>
      <w:r>
        <w:t>Scheduled jobs or batch processes: [LIST]</w:t>
      </w:r>
    </w:p>
    <w:p>
      <w:pPr>
        <w:pStyle w:val="Heading2"/>
      </w:pPr>
      <w:r>
        <w:t>3.2 Data Inventory</w:t>
      </w:r>
    </w:p>
    <w:p>
      <w:pPr>
        <w:pStyle w:val="ListBullet"/>
      </w:pPr>
      <w:r>
        <w:t>Types of data stored: [LIST]</w:t>
      </w:r>
    </w:p>
    <w:p>
      <w:pPr>
        <w:pStyle w:val="ListBullet"/>
      </w:pPr>
      <w:r>
        <w:t>Data retention requirements: [SPECIFY]</w:t>
      </w:r>
    </w:p>
    <w:p>
      <w:pPr>
        <w:pStyle w:val="ListBullet"/>
      </w:pPr>
      <w:r>
        <w:t>Data that must be migrated: [LIST]</w:t>
      </w:r>
    </w:p>
    <w:p>
      <w:pPr>
        <w:pStyle w:val="ListBullet"/>
      </w:pPr>
      <w:r>
        <w:t>Data that must be archived: [LIST]</w:t>
      </w:r>
    </w:p>
    <w:p>
      <w:pPr>
        <w:pStyle w:val="ListBullet"/>
      </w:pPr>
      <w:r>
        <w:t>Data that must be destroyed: [LIST]</w:t>
      </w:r>
    </w:p>
    <w:p>
      <w:pPr>
        <w:pStyle w:val="Heading2"/>
      </w:pPr>
      <w:r>
        <w:t>3.3 Stakeholder Identification</w:t>
      </w:r>
    </w:p>
    <w:p>
      <w:pPr>
        <w:pStyle w:val="ListBullet"/>
      </w:pPr>
      <w:r>
        <w:t>Internal users/teams: [LIST]</w:t>
      </w:r>
    </w:p>
    <w:p>
      <w:pPr>
        <w:pStyle w:val="ListBullet"/>
      </w:pPr>
      <w:r>
        <w:t>External users/customers: [LIST]</w:t>
      </w:r>
    </w:p>
    <w:p>
      <w:pPr>
        <w:pStyle w:val="ListBullet"/>
      </w:pPr>
      <w:r>
        <w:t>Third-party integrators: [LIST]</w:t>
      </w:r>
    </w:p>
    <w:p>
      <w:pPr>
        <w:pStyle w:val="ListBullet"/>
      </w:pPr>
      <w:r>
        <w:t>Regulatory/compliance stakeholders: [LIST]</w:t>
      </w:r>
    </w:p>
    <w:p>
      <w:pPr>
        <w:pStyle w:val="Heading1"/>
      </w:pPr>
      <w:r>
        <w:t>4.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Milestone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Audience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Channel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Initial announcement</w:t>
            </w:r>
          </w:p>
        </w:tc>
        <w:tc>
          <w:tcPr>
            <w:tcW w:type="dxa" w:w="2340"/>
          </w:tcPr>
          <w:p>
            <w:r>
              <w:t>[All stakeholders]</w:t>
            </w:r>
          </w:p>
        </w:tc>
        <w:tc>
          <w:tcPr>
            <w:tcW w:type="dxa" w:w="2340"/>
          </w:tcPr>
          <w:p>
            <w:r>
              <w:t>[Email/Meeting]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</w:tr>
      <w:tr>
        <w:tc>
          <w:tcPr>
            <w:tcW w:type="dxa" w:w="2340"/>
          </w:tcPr>
          <w:p>
            <w:r>
              <w:t>Migration deadline</w:t>
            </w:r>
          </w:p>
        </w:tc>
        <w:tc>
          <w:tcPr>
            <w:tcW w:type="dxa" w:w="2340"/>
          </w:tcPr>
          <w:p>
            <w:r>
              <w:t>[Data owners]</w:t>
            </w:r>
          </w:p>
        </w:tc>
        <w:tc>
          <w:tcPr>
            <w:tcW w:type="dxa" w:w="2340"/>
          </w:tcPr>
          <w:p>
            <w:r>
              <w:t>[Email]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</w:tr>
      <w:tr>
        <w:tc>
          <w:tcPr>
            <w:tcW w:type="dxa" w:w="2340"/>
          </w:tcPr>
          <w:p>
            <w:r>
              <w:t>Read-only mode</w:t>
            </w:r>
          </w:p>
        </w:tc>
        <w:tc>
          <w:tcPr>
            <w:tcW w:type="dxa" w:w="2340"/>
          </w:tcPr>
          <w:p>
            <w:r>
              <w:t>[All users]</w:t>
            </w:r>
          </w:p>
        </w:tc>
        <w:tc>
          <w:tcPr>
            <w:tcW w:type="dxa" w:w="2340"/>
          </w:tcPr>
          <w:p>
            <w:r>
              <w:t>[System banner + email]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</w:tr>
      <w:tr>
        <w:tc>
          <w:tcPr>
            <w:tcW w:type="dxa" w:w="2340"/>
          </w:tcPr>
          <w:p>
            <w:r>
              <w:t>Final shutdown</w:t>
            </w:r>
          </w:p>
        </w:tc>
        <w:tc>
          <w:tcPr>
            <w:tcW w:type="dxa" w:w="2340"/>
          </w:tcPr>
          <w:p>
            <w:r>
              <w:t>[All stakeholders]</w:t>
            </w:r>
          </w:p>
        </w:tc>
        <w:tc>
          <w:tcPr>
            <w:tcW w:type="dxa" w:w="2340"/>
          </w:tcPr>
          <w:p>
            <w:r>
              <w:t>[Email]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</w:tr>
    </w:tbl>
    <w:p>
      <w:pPr>
        <w:pStyle w:val="Heading1"/>
      </w:pPr>
      <w:r>
        <w:t>5. Data Migration and Destruction</w:t>
      </w:r>
    </w:p>
    <w:p>
      <w:pPr>
        <w:pStyle w:val="Heading2"/>
      </w:pPr>
      <w:r>
        <w:t>5.1 Data Migration</w:t>
      </w:r>
    </w:p>
    <w:p>
      <w:pPr>
        <w:pStyle w:val="ListBullet"/>
      </w:pPr>
      <w:r>
        <w:t>Migration target system: [SYSTEM NAME]</w:t>
      </w:r>
    </w:p>
    <w:p>
      <w:pPr>
        <w:pStyle w:val="ListBullet"/>
      </w:pPr>
      <w:r>
        <w:t>Migration method: [DESCRIBE]</w:t>
      </w:r>
    </w:p>
    <w:p>
      <w:pPr>
        <w:pStyle w:val="ListBullet"/>
      </w:pPr>
      <w:r>
        <w:t>Data validation procedures: [DESCRIBE]</w:t>
      </w:r>
    </w:p>
    <w:p>
      <w:pPr>
        <w:pStyle w:val="ListBullet"/>
      </w:pPr>
      <w:r>
        <w:t>Migration completion verification: [DESCRIBE]</w:t>
      </w:r>
    </w:p>
    <w:p>
      <w:pPr>
        <w:pStyle w:val="Heading2"/>
      </w:pPr>
      <w:r>
        <w:t>5.2 Data Archival</w:t>
      </w:r>
    </w:p>
    <w:p>
      <w:pPr>
        <w:pStyle w:val="ListBullet"/>
      </w:pPr>
      <w:r>
        <w:t>Archive location: [SPECIFY]</w:t>
      </w:r>
    </w:p>
    <w:p>
      <w:pPr>
        <w:pStyle w:val="ListBullet"/>
      </w:pPr>
      <w:r>
        <w:t>Archive format: [SPECIFY]</w:t>
      </w:r>
    </w:p>
    <w:p>
      <w:pPr>
        <w:pStyle w:val="ListBullet"/>
      </w:pPr>
      <w:r>
        <w:t>Archive retention period: [SPECIFY]</w:t>
      </w:r>
    </w:p>
    <w:p>
      <w:pPr>
        <w:pStyle w:val="ListBullet"/>
      </w:pPr>
      <w:r>
        <w:t>Archive access procedures: [DESCRIBE]</w:t>
      </w:r>
    </w:p>
    <w:p>
      <w:pPr>
        <w:pStyle w:val="Heading2"/>
      </w:pPr>
      <w:r>
        <w:t>5.3 Data Destruction</w:t>
      </w:r>
    </w:p>
    <w:p>
      <w:pPr>
        <w:pStyle w:val="ListBullet"/>
      </w:pPr>
      <w:r>
        <w:t>Data destruction method: [e.g., Cryptographic erasure, secure wipe, physical destruction]</w:t>
      </w:r>
    </w:p>
    <w:p>
      <w:pPr>
        <w:pStyle w:val="ListBullet"/>
      </w:pPr>
      <w:r>
        <w:t>Destruction verification: [DESCRIBE]</w:t>
      </w:r>
    </w:p>
    <w:p>
      <w:pPr>
        <w:pStyle w:val="ListBullet"/>
      </w:pPr>
      <w:r>
        <w:t>Certificate of destruction: [YES/NO — required for regulated data]</w:t>
      </w:r>
    </w:p>
    <w:p>
      <w:pPr>
        <w:pStyle w:val="Heading1"/>
      </w:pPr>
      <w:r>
        <w:t>6. Security Decommission Checklist</w:t>
      </w:r>
    </w:p>
    <w:p>
      <w:pPr>
        <w:pStyle w:val="ListBullet"/>
      </w:pPr>
      <w:r>
        <w:t>[ ] All secrets, credentials, and API keys revoked</w:t>
      </w:r>
    </w:p>
    <w:p>
      <w:pPr>
        <w:pStyle w:val="ListBullet"/>
      </w:pPr>
      <w:r>
        <w:t>[ ] Service accounts disabled or deleted</w:t>
      </w:r>
    </w:p>
    <w:p>
      <w:pPr>
        <w:pStyle w:val="ListBullet"/>
      </w:pPr>
      <w:r>
        <w:t>[ ] TLS certificates revoked</w:t>
      </w:r>
    </w:p>
    <w:p>
      <w:pPr>
        <w:pStyle w:val="ListBullet"/>
      </w:pPr>
      <w:r>
        <w:t>[ ] DNS records updated or removed</w:t>
      </w:r>
    </w:p>
    <w:p>
      <w:pPr>
        <w:pStyle w:val="ListBullet"/>
      </w:pPr>
      <w:r>
        <w:t>[ ] Firewall rules and network ACLs updated</w:t>
      </w:r>
    </w:p>
    <w:p>
      <w:pPr>
        <w:pStyle w:val="ListBullet"/>
      </w:pPr>
      <w:r>
        <w:t>[ ] Load balancer configurations removed</w:t>
      </w:r>
    </w:p>
    <w:p>
      <w:pPr>
        <w:pStyle w:val="ListBullet"/>
      </w:pPr>
      <w:r>
        <w:t>[ ] CI/CD pipeline configurations archived and removed</w:t>
      </w:r>
    </w:p>
    <w:p>
      <w:pPr>
        <w:pStyle w:val="ListBullet"/>
      </w:pPr>
      <w:r>
        <w:t>[ ] Repository archived (not deleted — maintain audit trail)</w:t>
      </w:r>
    </w:p>
    <w:p>
      <w:pPr>
        <w:pStyle w:val="ListBullet"/>
      </w:pPr>
      <w:r>
        <w:t>[ ] Container images removed from registries (after retention period)</w:t>
      </w:r>
    </w:p>
    <w:p>
      <w:pPr>
        <w:pStyle w:val="ListBullet"/>
      </w:pPr>
      <w:r>
        <w:t>[ ] Cloud resources deprovisioned</w:t>
      </w:r>
    </w:p>
    <w:p>
      <w:pPr>
        <w:pStyle w:val="ListBullet"/>
      </w:pPr>
      <w:r>
        <w:t>[ ] Monitoring and alerting rules removed</w:t>
      </w:r>
    </w:p>
    <w:p>
      <w:pPr>
        <w:pStyle w:val="ListBullet"/>
      </w:pPr>
      <w:r>
        <w:t>[ ] SBOM archived for compliance records</w:t>
      </w:r>
    </w:p>
    <w:p>
      <w:pPr>
        <w:pStyle w:val="ListBullet"/>
      </w:pPr>
      <w:r>
        <w:t>[ ] Third-party integrations disconnected and API keys revoked</w:t>
      </w:r>
    </w:p>
    <w:p>
      <w:pPr>
        <w:pStyle w:val="ListBullet"/>
      </w:pPr>
      <w:r>
        <w:t>[ ] User access permissions revoked</w:t>
      </w:r>
    </w:p>
    <w:p>
      <w:pPr>
        <w:pStyle w:val="Heading1"/>
      </w:pPr>
      <w:r>
        <w:t>7. Post-Decommission Verification</w:t>
      </w:r>
    </w:p>
    <w:p>
      <w:pPr>
        <w:pStyle w:val="ListBullet"/>
      </w:pPr>
      <w:r>
        <w:t>Verify all endpoints return appropriate responses (404 or redirect)</w:t>
      </w:r>
    </w:p>
    <w:p>
      <w:pPr>
        <w:pStyle w:val="ListBullet"/>
      </w:pPr>
      <w:r>
        <w:t>Confirm no orphaned DNS records point to decommissioned infrastructure</w:t>
      </w:r>
    </w:p>
    <w:p>
      <w:pPr>
        <w:pStyle w:val="ListBullet"/>
      </w:pPr>
      <w:r>
        <w:t>Validate that no secrets remain active for the decommissioned system</w:t>
      </w:r>
    </w:p>
    <w:p>
      <w:pPr>
        <w:pStyle w:val="ListBullet"/>
      </w:pPr>
      <w:r>
        <w:t>Confirm data destruction or archival is complete</w:t>
      </w:r>
    </w:p>
    <w:p>
      <w:pPr>
        <w:pStyle w:val="ListBullet"/>
      </w:pPr>
      <w:r>
        <w:t>Verify no active CI/CD pipelines reference the decommissioned system</w:t>
      </w:r>
    </w:p>
    <w:p>
      <w:pPr>
        <w:pStyle w:val="ListBullet"/>
      </w:pPr>
      <w:r>
        <w:t>Run a final security scan to verify no residual exposure</w:t>
      </w:r>
    </w:p>
    <w:p>
      <w:pPr>
        <w:pStyle w:val="Heading1"/>
      </w:pPr>
      <w:r>
        <w:t>8. Rollback Plan</w:t>
      </w:r>
    </w:p>
    <w:p>
      <w:r>
        <w:t>In case decommission must be reversed:</w:t>
      </w:r>
    </w:p>
    <w:p>
      <w:pPr>
        <w:pStyle w:val="ListBullet"/>
      </w:pPr>
      <w:r>
        <w:t>Rollback window: [SPECIFY — e.g., 30 days post-shutdown]</w:t>
      </w:r>
    </w:p>
    <w:p>
      <w:pPr>
        <w:pStyle w:val="ListBullet"/>
      </w:pPr>
      <w:r>
        <w:t>Backup/snapshot location: [SPECIFY]</w:t>
      </w:r>
    </w:p>
    <w:p>
      <w:pPr>
        <w:pStyle w:val="ListBullet"/>
      </w:pPr>
      <w:r>
        <w:t>Rollback procedure: [DESCRIBE]</w:t>
      </w:r>
    </w:p>
    <w:p>
      <w:pPr>
        <w:pStyle w:val="ListBullet"/>
      </w:pPr>
      <w:r>
        <w:t>Decision authority for rollback: [NAME/ROLE]</w:t>
      </w:r>
    </w:p>
    <w:p>
      <w:pPr>
        <w:pStyle w:val="Heading1"/>
      </w:pPr>
      <w:r>
        <w:t>9. Sign-Off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System Owner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Security Team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Data Owner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Infrastructure/DevOps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