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Secrets Management Policy</w:t>
      </w:r>
    </w:p>
    <w:p>
      <w:pPr>
        <w:jc w:val="center"/>
      </w:pPr>
      <w:r>
        <w:rPr>
          <w:color w:val="64748B"/>
          <w:sz w:val="28"/>
        </w:rPr>
        <w:t>Credential and Secret Lifecycle Management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policy defines the requirements for managing secrets (credentials, API keys, tokens, certificates, and other sensitive configuration data) throughout the software development lifecycle at [ORGANIZATION NAME].</w:t>
      </w:r>
    </w:p>
    <w:p>
      <w:pPr>
        <w:pStyle w:val="Heading1"/>
      </w:pPr>
      <w:r>
        <w:t>2. Scope</w:t>
      </w:r>
    </w:p>
    <w:p>
      <w:r>
        <w:t>This policy applies to all secrets used in the development, testing, deployment, and operation of software, including:</w:t>
      </w:r>
    </w:p>
    <w:p>
      <w:pPr>
        <w:pStyle w:val="ListBullet"/>
      </w:pPr>
      <w:r>
        <w:t>Database credentials and connection strings</w:t>
      </w:r>
    </w:p>
    <w:p>
      <w:pPr>
        <w:pStyle w:val="ListBullet"/>
      </w:pPr>
      <w:r>
        <w:t>API keys and access tokens</w:t>
      </w:r>
    </w:p>
    <w:p>
      <w:pPr>
        <w:pStyle w:val="ListBullet"/>
      </w:pPr>
      <w:r>
        <w:t>SSH keys and certificates</w:t>
      </w:r>
    </w:p>
    <w:p>
      <w:pPr>
        <w:pStyle w:val="ListBullet"/>
      </w:pPr>
      <w:r>
        <w:t>TLS/SSL certificates and private keys</w:t>
      </w:r>
    </w:p>
    <w:p>
      <w:pPr>
        <w:pStyle w:val="ListBullet"/>
      </w:pPr>
      <w:r>
        <w:t>Encryption keys and key-encrypting keys</w:t>
      </w:r>
    </w:p>
    <w:p>
      <w:pPr>
        <w:pStyle w:val="ListBullet"/>
      </w:pPr>
      <w:r>
        <w:t>Service account credentials</w:t>
      </w:r>
    </w:p>
    <w:p>
      <w:pPr>
        <w:pStyle w:val="ListBullet"/>
      </w:pPr>
      <w:r>
        <w:t>OAuth client secrets</w:t>
      </w:r>
    </w:p>
    <w:p>
      <w:pPr>
        <w:pStyle w:val="ListBullet"/>
      </w:pPr>
      <w:r>
        <w:t>Webhook secrets and signing keys</w:t>
      </w:r>
    </w:p>
    <w:p>
      <w:pPr>
        <w:pStyle w:val="ListBullet"/>
      </w:pPr>
      <w:r>
        <w:t>Environment-specific configuration secrets</w:t>
      </w:r>
    </w:p>
    <w:p>
      <w:pPr>
        <w:pStyle w:val="Heading1"/>
      </w:pPr>
      <w:r>
        <w:t>3. Prohibited Practices</w:t>
      </w:r>
    </w:p>
    <w:p>
      <w:r>
        <w:t>The following practices are strictly prohibited:</w:t>
      </w:r>
    </w:p>
    <w:p>
      <w:pPr>
        <w:pStyle w:val="ListBullet"/>
      </w:pPr>
      <w:r>
        <w:t>Hardcoding secrets in source code, scripts, or configuration files</w:t>
      </w:r>
    </w:p>
    <w:p>
      <w:pPr>
        <w:pStyle w:val="ListBullet"/>
      </w:pPr>
      <w:r>
        <w:t>Committing secrets to version control repositories</w:t>
      </w:r>
    </w:p>
    <w:p>
      <w:pPr>
        <w:pStyle w:val="ListBullet"/>
      </w:pPr>
      <w:r>
        <w:t>Storing secrets in plaintext in any location</w:t>
      </w:r>
    </w:p>
    <w:p>
      <w:pPr>
        <w:pStyle w:val="ListBullet"/>
      </w:pPr>
      <w:r>
        <w:t>Sharing secrets via email, chat, or other unencrypted channels</w:t>
      </w:r>
    </w:p>
    <w:p>
      <w:pPr>
        <w:pStyle w:val="ListBullet"/>
      </w:pPr>
      <w:r>
        <w:t>Using production secrets in development or testing environments</w:t>
      </w:r>
    </w:p>
    <w:p>
      <w:pPr>
        <w:pStyle w:val="ListBullet"/>
      </w:pPr>
      <w:r>
        <w:t>Using shared or group credentials for individual access</w:t>
      </w:r>
    </w:p>
    <w:p>
      <w:pPr>
        <w:pStyle w:val="ListBullet"/>
      </w:pPr>
      <w:r>
        <w:t>Embedding secrets in container images or build artifacts</w:t>
      </w:r>
    </w:p>
    <w:p>
      <w:pPr>
        <w:pStyle w:val="ListBullet"/>
      </w:pPr>
      <w:r>
        <w:t>Submitting secrets to AI coding assistants or copilots</w:t>
      </w:r>
    </w:p>
    <w:p>
      <w:pPr>
        <w:pStyle w:val="Heading1"/>
      </w:pPr>
      <w:r>
        <w:t>4. Approved Secrets Management Solutions</w:t>
      </w:r>
    </w:p>
    <w:p>
      <w:r>
        <w:t>[ORGANIZATION NAME] approved secrets management solutions:</w:t>
      </w:r>
    </w:p>
    <w:p>
      <w:pPr>
        <w:pStyle w:val="ListBullet"/>
      </w:pPr>
      <w:r>
        <w:t>Primary vault: [e.g., HashiCorp Vault, AWS Secrets Manager, Azure Key Vault]</w:t>
      </w:r>
    </w:p>
    <w:p>
      <w:pPr>
        <w:pStyle w:val="ListBullet"/>
      </w:pPr>
      <w:r>
        <w:t>CI/CD secrets: [e.g., GitHub Actions Secrets, GitLab CI Variables]</w:t>
      </w:r>
    </w:p>
    <w:p>
      <w:pPr>
        <w:pStyle w:val="ListBullet"/>
      </w:pPr>
      <w:r>
        <w:t>Developer workstation: [e.g., 1Password CLI, AWS SSO]</w:t>
      </w:r>
    </w:p>
    <w:p>
      <w:pPr>
        <w:pStyle w:val="Heading1"/>
      </w:pPr>
      <w:r>
        <w:t>5. Secret Lifecycle Management</w:t>
      </w:r>
    </w:p>
    <w:p>
      <w:pPr>
        <w:pStyle w:val="Heading2"/>
      </w:pPr>
      <w:r>
        <w:t>5.1 Creation</w:t>
      </w:r>
    </w:p>
    <w:p>
      <w:pPr>
        <w:pStyle w:val="ListBullet"/>
      </w:pPr>
      <w:r>
        <w:t>Secrets shall be generated using cryptographically secure random generators</w:t>
      </w:r>
    </w:p>
    <w:p>
      <w:pPr>
        <w:pStyle w:val="ListBullet"/>
      </w:pPr>
      <w:r>
        <w:t>Minimum entropy requirements: [DEFINE — e.g., 128 bits for symmetric keys, 256 bits for API keys]</w:t>
      </w:r>
    </w:p>
    <w:p>
      <w:pPr>
        <w:pStyle w:val="ListBullet"/>
      </w:pPr>
      <w:r>
        <w:t>Secrets shall be created directly in the approved vault where possible</w:t>
      </w:r>
    </w:p>
    <w:p>
      <w:pPr>
        <w:pStyle w:val="Heading2"/>
      </w:pPr>
      <w:r>
        <w:t>5.2 Storage</w:t>
      </w:r>
    </w:p>
    <w:p>
      <w:pPr>
        <w:pStyle w:val="ListBullet"/>
      </w:pPr>
      <w:r>
        <w:t>All secrets shall be stored in an approved secrets management solution</w:t>
      </w:r>
    </w:p>
    <w:p>
      <w:pPr>
        <w:pStyle w:val="ListBullet"/>
      </w:pPr>
      <w:r>
        <w:t>Secrets shall be encrypted at rest using [ENCRYPTION STANDARD]</w:t>
      </w:r>
    </w:p>
    <w:p>
      <w:pPr>
        <w:pStyle w:val="ListBullet"/>
      </w:pPr>
      <w:r>
        <w:t>Access to secrets shall be governed by role-based access controls</w:t>
      </w:r>
    </w:p>
    <w:p>
      <w:pPr>
        <w:pStyle w:val="ListBullet"/>
      </w:pPr>
      <w:r>
        <w:t>Secret access shall be logged and auditable</w:t>
      </w:r>
    </w:p>
    <w:p>
      <w:pPr>
        <w:pStyle w:val="Heading2"/>
      </w:pPr>
      <w:r>
        <w:t>5.3 Distribution</w:t>
      </w:r>
    </w:p>
    <w:p>
      <w:pPr>
        <w:pStyle w:val="ListBullet"/>
      </w:pPr>
      <w:r>
        <w:t>Applications shall retrieve secrets at runtime from the approved vault</w:t>
      </w:r>
    </w:p>
    <w:p>
      <w:pPr>
        <w:pStyle w:val="ListBullet"/>
      </w:pPr>
      <w:r>
        <w:t>Secrets shall be injected via environment variables or secure mounting — never baked into images</w:t>
      </w:r>
    </w:p>
    <w:p>
      <w:pPr>
        <w:pStyle w:val="ListBullet"/>
      </w:pPr>
      <w:r>
        <w:t>Secret references (not values) shall be stored in configuration files</w:t>
      </w:r>
    </w:p>
    <w:p>
      <w:pPr>
        <w:pStyle w:val="Heading2"/>
      </w:pPr>
      <w:r>
        <w:t>5.4 Rotation</w:t>
      </w:r>
    </w:p>
    <w:p>
      <w:r>
        <w:t>Mandatory rotation schedules:</w:t>
      </w:r>
    </w:p>
    <w:p>
      <w:pPr>
        <w:pStyle w:val="ListBullet"/>
      </w:pPr>
      <w:r>
        <w:t>Database credentials: Every [90] days</w:t>
      </w:r>
    </w:p>
    <w:p>
      <w:pPr>
        <w:pStyle w:val="ListBullet"/>
      </w:pPr>
      <w:r>
        <w:t>API keys: Every [180] days</w:t>
      </w:r>
    </w:p>
    <w:p>
      <w:pPr>
        <w:pStyle w:val="ListBullet"/>
      </w:pPr>
      <w:r>
        <w:t>Service account credentials: Every [90] days</w:t>
      </w:r>
    </w:p>
    <w:p>
      <w:pPr>
        <w:pStyle w:val="ListBullet"/>
      </w:pPr>
      <w:r>
        <w:t>TLS certificates: Before expiration (automated renewal preferred)</w:t>
      </w:r>
    </w:p>
    <w:p>
      <w:pPr>
        <w:pStyle w:val="ListBullet"/>
      </w:pPr>
      <w:r>
        <w:t>Encryption keys: Per [ORGANIZATION NAME] cryptographic standards</w:t>
      </w:r>
    </w:p>
    <w:p>
      <w:pPr>
        <w:pStyle w:val="ListBullet"/>
      </w:pPr>
      <w:r>
        <w:t>Immediately upon suspected compromise</w:t>
      </w:r>
    </w:p>
    <w:p>
      <w:pPr>
        <w:pStyle w:val="Heading2"/>
      </w:pPr>
      <w:r>
        <w:t>5.5 Revocation</w:t>
      </w:r>
    </w:p>
    <w:p>
      <w:pPr>
        <w:pStyle w:val="ListBullet"/>
      </w:pPr>
      <w:r>
        <w:t>Secrets shall be revoked immediately upon personnel departure or role change</w:t>
      </w:r>
    </w:p>
    <w:p>
      <w:pPr>
        <w:pStyle w:val="ListBullet"/>
      </w:pPr>
      <w:r>
        <w:t>Compromised secrets shall be revoked within [1 HOUR] of detection</w:t>
      </w:r>
    </w:p>
    <w:p>
      <w:pPr>
        <w:pStyle w:val="ListBullet"/>
      </w:pPr>
      <w:r>
        <w:t>Decommissioned systems shall have all associated secrets revoked</w:t>
      </w:r>
    </w:p>
    <w:p>
      <w:pPr>
        <w:pStyle w:val="Heading1"/>
      </w:pPr>
      <w:r>
        <w:t>6. Pre-Commit Secret Detection</w:t>
      </w:r>
    </w:p>
    <w:p>
      <w:pPr>
        <w:pStyle w:val="ListBullet"/>
      </w:pPr>
      <w:r>
        <w:t>Pre-commit hooks shall scan for secrets before code is committed</w:t>
      </w:r>
    </w:p>
    <w:p>
      <w:pPr>
        <w:pStyle w:val="ListBullet"/>
      </w:pPr>
      <w:r>
        <w:t>CI/CD pipelines shall include secret scanning as a blocking check</w:t>
      </w:r>
    </w:p>
    <w:p>
      <w:pPr>
        <w:pStyle w:val="ListBullet"/>
      </w:pPr>
      <w:r>
        <w:t>Approved tools: [e.g., gitleaks, truffleHog, detect-secrets]</w:t>
      </w:r>
    </w:p>
    <w:p>
      <w:pPr>
        <w:pStyle w:val="ListBullet"/>
      </w:pPr>
      <w:r>
        <w:t>Detected secrets shall trigger an immediate incident response process</w:t>
      </w:r>
    </w:p>
    <w:p>
      <w:pPr>
        <w:pStyle w:val="Heading1"/>
      </w:pPr>
      <w:r>
        <w:t>7. Incident Response for Secret Exposure</w:t>
      </w:r>
    </w:p>
    <w:p>
      <w:pPr>
        <w:pStyle w:val="ListNumber"/>
      </w:pPr>
      <w:r>
        <w:t>Immediately revoke the exposed secret</w:t>
      </w:r>
    </w:p>
    <w:p>
      <w:pPr>
        <w:pStyle w:val="ListNumber"/>
      </w:pPr>
      <w:r>
        <w:t>Rotate to a new secret value</w:t>
      </w:r>
    </w:p>
    <w:p>
      <w:pPr>
        <w:pStyle w:val="ListNumber"/>
      </w:pPr>
      <w:r>
        <w:t>Assess the blast radius — what systems and data were potentially accessible</w:t>
      </w:r>
    </w:p>
    <w:p>
      <w:pPr>
        <w:pStyle w:val="ListNumber"/>
      </w:pPr>
      <w:r>
        <w:t>Review access logs for unauthorized use</w:t>
      </w:r>
    </w:p>
    <w:p>
      <w:pPr>
        <w:pStyle w:val="ListNumber"/>
      </w:pPr>
      <w:r>
        <w:t>Report the incident per [ORGANIZATION NAME] incident response procedures</w:t>
      </w:r>
    </w:p>
    <w:p>
      <w:pPr>
        <w:pStyle w:val="ListNumber"/>
      </w:pPr>
      <w:r>
        <w:t>Remediate the root cause (e.g., remove from repository history)</w:t>
      </w:r>
    </w:p>
    <w:p>
      <w:pPr>
        <w:pStyle w:val="ListNumber"/>
      </w:pPr>
      <w:r>
        <w:t>Conduct a post-incident review</w:t>
      </w:r>
    </w:p>
    <w:p>
      <w:pPr>
        <w:pStyle w:val="Heading1"/>
      </w:pPr>
      <w:r>
        <w:t>8. Audit and Compliance</w:t>
      </w:r>
    </w:p>
    <w:p>
      <w:pPr>
        <w:pStyle w:val="ListBullet"/>
      </w:pPr>
      <w:r>
        <w:t>Secret access logs shall be retained for [RETENTION PERIOD]</w:t>
      </w:r>
    </w:p>
    <w:p>
      <w:pPr>
        <w:pStyle w:val="ListBullet"/>
      </w:pPr>
      <w:r>
        <w:t>Quarterly audits shall verify rotation compliance</w:t>
      </w:r>
    </w:p>
    <w:p>
      <w:pPr>
        <w:pStyle w:val="ListBullet"/>
      </w:pPr>
      <w:r>
        <w:t>Annual assessments shall review secrets management posture</w:t>
      </w:r>
    </w:p>
    <w:p>
      <w:pPr>
        <w:pStyle w:val="Heading1"/>
      </w:pPr>
      <w:r>
        <w:t>9. Review Cycle</w:t>
      </w:r>
    </w:p>
    <w:p>
      <w:r>
        <w:t>This policy shall be reviewed annually or when significant changes occur in secrets management tooling or practices.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