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Incident Response Plan</w:t>
        <w:br/>
        <w:t>for Development Teams</w:t>
      </w:r>
    </w:p>
    <w:p>
      <w:pPr>
        <w:jc w:val="center"/>
      </w:pPr>
      <w:r>
        <w:rPr>
          <w:color w:val="64748B"/>
          <w:sz w:val="28"/>
        </w:rPr>
        <w:t>Security Incident Response Procedures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plan establishes incident response procedures for [ORGANIZATION NAME] development teams to detect, respond to, contain, and recover from security incidents affecting software systems and development infrastructure.</w:t>
      </w:r>
    </w:p>
    <w:p>
      <w:pPr>
        <w:pStyle w:val="Heading1"/>
      </w:pPr>
      <w:r>
        <w:t>2. Scope</w:t>
      </w:r>
    </w:p>
    <w:p>
      <w:r>
        <w:t>This plan covers security incidents related to:</w:t>
      </w:r>
    </w:p>
    <w:p>
      <w:pPr>
        <w:pStyle w:val="ListBullet"/>
      </w:pPr>
      <w:r>
        <w:t>Application-level security breaches</w:t>
      </w:r>
    </w:p>
    <w:p>
      <w:pPr>
        <w:pStyle w:val="ListBullet"/>
      </w:pPr>
      <w:r>
        <w:t>Compromised credentials or secrets</w:t>
      </w:r>
    </w:p>
    <w:p>
      <w:pPr>
        <w:pStyle w:val="ListBullet"/>
      </w:pPr>
      <w:r>
        <w:t>Malicious code injection or supply chain compromise</w:t>
      </w:r>
    </w:p>
    <w:p>
      <w:pPr>
        <w:pStyle w:val="ListBullet"/>
      </w:pPr>
      <w:r>
        <w:t>Data exposure or unauthorized data access</w:t>
      </w:r>
    </w:p>
    <w:p>
      <w:pPr>
        <w:pStyle w:val="ListBullet"/>
      </w:pPr>
      <w:r>
        <w:t>Development infrastructure compromise (CI/CD, repositories, build systems)</w:t>
      </w:r>
    </w:p>
    <w:p>
      <w:pPr>
        <w:pStyle w:val="ListBullet"/>
      </w:pPr>
      <w:r>
        <w:t>Third-party dependency vulnerabilities under active exploitation</w:t>
      </w:r>
    </w:p>
    <w:p>
      <w:pPr>
        <w:pStyle w:val="Heading1"/>
      </w:pPr>
      <w:r>
        <w:t>3. Incident Classification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172A" w:val="clear"/>
          </w:tcPr>
          <w:p>
            <w:r>
              <w:rPr>
                <w:b/>
                <w:color w:val="FFFFFF"/>
              </w:rPr>
              <w:t>Severity</w:t>
            </w:r>
          </w:p>
        </w:tc>
        <w:tc>
          <w:tcPr>
            <w:tcW w:type="dxa" w:w="3120"/>
            <w:shd w:fill="0F172A" w:val="clear"/>
          </w:tcPr>
          <w:p>
            <w:r>
              <w:rPr>
                <w:b/>
                <w:color w:val="FFFFFF"/>
              </w:rPr>
              <w:t>Description</w:t>
            </w:r>
          </w:p>
        </w:tc>
        <w:tc>
          <w:tcPr>
            <w:tcW w:type="dxa" w:w="3120"/>
            <w:shd w:fill="0F172A" w:val="clear"/>
          </w:tcPr>
          <w:p>
            <w:r>
              <w:rPr>
                <w:b/>
                <w:color w:val="FFFFFF"/>
              </w:rPr>
              <w:t>Response Time</w:t>
            </w:r>
          </w:p>
        </w:tc>
      </w:tr>
      <w:tr>
        <w:tc>
          <w:tcPr>
            <w:tcW w:type="dxa" w:w="3120"/>
          </w:tcPr>
          <w:p>
            <w:r>
              <w:t>P1 — Critical</w:t>
            </w:r>
          </w:p>
        </w:tc>
        <w:tc>
          <w:tcPr>
            <w:tcW w:type="dxa" w:w="3120"/>
          </w:tcPr>
          <w:p>
            <w:r>
              <w:t>Active breach, data exfiltration, production system compromise</w:t>
            </w:r>
          </w:p>
        </w:tc>
        <w:tc>
          <w:tcPr>
            <w:tcW w:type="dxa" w:w="3120"/>
          </w:tcPr>
          <w:p>
            <w:r>
              <w:t>Immediate (&lt; 15 min)</w:t>
            </w:r>
          </w:p>
        </w:tc>
      </w:tr>
      <w:tr>
        <w:tc>
          <w:tcPr>
            <w:tcW w:type="dxa" w:w="3120"/>
          </w:tcPr>
          <w:p>
            <w:r>
              <w:t>P2 — High</w:t>
            </w:r>
          </w:p>
        </w:tc>
        <w:tc>
          <w:tcPr>
            <w:tcW w:type="dxa" w:w="3120"/>
          </w:tcPr>
          <w:p>
            <w:r>
              <w:t>Confirmed vulnerability exploitation, credential compromise</w:t>
            </w:r>
          </w:p>
        </w:tc>
        <w:tc>
          <w:tcPr>
            <w:tcW w:type="dxa" w:w="3120"/>
          </w:tcPr>
          <w:p>
            <w:r>
              <w:t>&lt; 1 hour</w:t>
            </w:r>
          </w:p>
        </w:tc>
      </w:tr>
      <w:tr>
        <w:tc>
          <w:tcPr>
            <w:tcW w:type="dxa" w:w="3120"/>
          </w:tcPr>
          <w:p>
            <w:r>
              <w:t>P3 — Medium</w:t>
            </w:r>
          </w:p>
        </w:tc>
        <w:tc>
          <w:tcPr>
            <w:tcW w:type="dxa" w:w="3120"/>
          </w:tcPr>
          <w:p>
            <w:r>
              <w:t>Suspicious activity, potential compromise under investigation</w:t>
            </w:r>
          </w:p>
        </w:tc>
        <w:tc>
          <w:tcPr>
            <w:tcW w:type="dxa" w:w="3120"/>
          </w:tcPr>
          <w:p>
            <w:r>
              <w:t>&lt; 4 hours</w:t>
            </w:r>
          </w:p>
        </w:tc>
      </w:tr>
      <w:tr>
        <w:tc>
          <w:tcPr>
            <w:tcW w:type="dxa" w:w="3120"/>
          </w:tcPr>
          <w:p>
            <w:r>
              <w:t>P4 — Low</w:t>
            </w:r>
          </w:p>
        </w:tc>
        <w:tc>
          <w:tcPr>
            <w:tcW w:type="dxa" w:w="3120"/>
          </w:tcPr>
          <w:p>
            <w:r>
              <w:t>Policy violation, minor security issue, informational</w:t>
            </w:r>
          </w:p>
        </w:tc>
        <w:tc>
          <w:tcPr>
            <w:tcW w:type="dxa" w:w="3120"/>
          </w:tcPr>
          <w:p>
            <w:r>
              <w:t>&lt; 24 hours</w:t>
            </w:r>
          </w:p>
        </w:tc>
      </w:tr>
    </w:tbl>
    <w:p>
      <w:pPr>
        <w:pStyle w:val="Heading1"/>
      </w:pPr>
      <w:r>
        <w:t>4. Incident Response Team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3120"/>
            <w:shd w:fill="0F172A" w:val="clear"/>
          </w:tcPr>
          <w:p>
            <w:r>
              <w:rPr>
                <w:b/>
                <w:color w:val="FFFFFF"/>
              </w:rPr>
              <w:t>Responsibility</w:t>
            </w:r>
          </w:p>
        </w:tc>
        <w:tc>
          <w:tcPr>
            <w:tcW w:type="dxa" w:w="3120"/>
            <w:shd w:fill="0F172A" w:val="clear"/>
          </w:tcPr>
          <w:p>
            <w:r>
              <w:rPr>
                <w:b/>
                <w:color w:val="FFFFFF"/>
              </w:rPr>
              <w:t>Contact</w:t>
            </w:r>
          </w:p>
        </w:tc>
      </w:tr>
      <w:tr>
        <w:tc>
          <w:tcPr>
            <w:tcW w:type="dxa" w:w="3120"/>
          </w:tcPr>
          <w:p>
            <w:r>
              <w:t>Incident Commander</w:t>
            </w:r>
          </w:p>
        </w:tc>
        <w:tc>
          <w:tcPr>
            <w:tcW w:type="dxa" w:w="3120"/>
          </w:tcPr>
          <w:p>
            <w:r>
              <w:t>Overall coordination and decision-making</w:t>
            </w:r>
          </w:p>
        </w:tc>
        <w:tc>
          <w:tcPr>
            <w:tcW w:type="dxa" w:w="3120"/>
          </w:tcPr>
          <w:p>
            <w:r>
              <w:t>[NAME / ON-CALL ROTATION]</w:t>
            </w:r>
          </w:p>
        </w:tc>
      </w:tr>
      <w:tr>
        <w:tc>
          <w:tcPr>
            <w:tcW w:type="dxa" w:w="3120"/>
          </w:tcPr>
          <w:p>
            <w:r>
              <w:t>Security Lead</w:t>
            </w:r>
          </w:p>
        </w:tc>
        <w:tc>
          <w:tcPr>
            <w:tcW w:type="dxa" w:w="3120"/>
          </w:tcPr>
          <w:p>
            <w:r>
              <w:t>Technical investigation and containment</w:t>
            </w:r>
          </w:p>
        </w:tc>
        <w:tc>
          <w:tcPr>
            <w:tcW w:type="dxa" w:w="3120"/>
          </w:tcPr>
          <w:p>
            <w:r>
              <w:t>[NAME / ON-CALL ROTATION]</w:t>
            </w:r>
          </w:p>
        </w:tc>
      </w:tr>
      <w:tr>
        <w:tc>
          <w:tcPr>
            <w:tcW w:type="dxa" w:w="3120"/>
          </w:tcPr>
          <w:p>
            <w:r>
              <w:t>Development Lead</w:t>
            </w:r>
          </w:p>
        </w:tc>
        <w:tc>
          <w:tcPr>
            <w:tcW w:type="dxa" w:w="3120"/>
          </w:tcPr>
          <w:p>
            <w:r>
              <w:t>Code-level analysis and remediation</w:t>
            </w:r>
          </w:p>
        </w:tc>
        <w:tc>
          <w:tcPr>
            <w:tcW w:type="dxa" w:w="3120"/>
          </w:tcPr>
          <w:p>
            <w:r>
              <w:t>[NAME / ON-CALL ROTATION]</w:t>
            </w:r>
          </w:p>
        </w:tc>
      </w:tr>
      <w:tr>
        <w:tc>
          <w:tcPr>
            <w:tcW w:type="dxa" w:w="3120"/>
          </w:tcPr>
          <w:p>
            <w:r>
              <w:t>DevOps/Platform Lead</w:t>
            </w:r>
          </w:p>
        </w:tc>
        <w:tc>
          <w:tcPr>
            <w:tcW w:type="dxa" w:w="3120"/>
          </w:tcPr>
          <w:p>
            <w:r>
              <w:t>Infrastructure containment and recovery</w:t>
            </w:r>
          </w:p>
        </w:tc>
        <w:tc>
          <w:tcPr>
            <w:tcW w:type="dxa" w:w="3120"/>
          </w:tcPr>
          <w:p>
            <w:r>
              <w:t>[NAME / ON-CALL ROTATION]</w:t>
            </w:r>
          </w:p>
        </w:tc>
      </w:tr>
      <w:tr>
        <w:tc>
          <w:tcPr>
            <w:tcW w:type="dxa" w:w="3120"/>
          </w:tcPr>
          <w:p>
            <w:r>
              <w:t>Communications Lead</w:t>
            </w:r>
          </w:p>
        </w:tc>
        <w:tc>
          <w:tcPr>
            <w:tcW w:type="dxa" w:w="3120"/>
          </w:tcPr>
          <w:p>
            <w:r>
              <w:t>Internal and external communications</w:t>
            </w:r>
          </w:p>
        </w:tc>
        <w:tc>
          <w:tcPr>
            <w:tcW w:type="dxa" w:w="3120"/>
          </w:tcPr>
          <w:p>
            <w:r>
              <w:t>[NAME]</w:t>
            </w:r>
          </w:p>
        </w:tc>
      </w:tr>
      <w:tr>
        <w:tc>
          <w:tcPr>
            <w:tcW w:type="dxa" w:w="3120"/>
          </w:tcPr>
          <w:p>
            <w:r>
              <w:t>Legal/Compliance</w:t>
            </w:r>
          </w:p>
        </w:tc>
        <w:tc>
          <w:tcPr>
            <w:tcW w:type="dxa" w:w="3120"/>
          </w:tcPr>
          <w:p>
            <w:r>
              <w:t>Regulatory notification requirements</w:t>
            </w:r>
          </w:p>
        </w:tc>
        <w:tc>
          <w:tcPr>
            <w:tcW w:type="dxa" w:w="3120"/>
          </w:tcPr>
          <w:p>
            <w:r>
              <w:t>[NAME]</w:t>
            </w:r>
          </w:p>
        </w:tc>
      </w:tr>
    </w:tbl>
    <w:p>
      <w:pPr>
        <w:pStyle w:val="Heading1"/>
      </w:pPr>
      <w:r>
        <w:t>5. Incident Response Phases</w:t>
      </w:r>
    </w:p>
    <w:p>
      <w:pPr>
        <w:pStyle w:val="Heading2"/>
      </w:pPr>
      <w:r>
        <w:t>5.1 Phase 1 — Detection and Identification</w:t>
      </w:r>
    </w:p>
    <w:p>
      <w:pPr>
        <w:pStyle w:val="ListBullet"/>
      </w:pPr>
      <w:r>
        <w:t>Monitor security alerts from SIEM, WAF, IDS/IPS, and application logs</w:t>
      </w:r>
    </w:p>
    <w:p>
      <w:pPr>
        <w:pStyle w:val="ListBullet"/>
      </w:pPr>
      <w:r>
        <w:t>Evaluate alerts against incident classification criteria</w:t>
      </w:r>
    </w:p>
    <w:p>
      <w:pPr>
        <w:pStyle w:val="ListBullet"/>
      </w:pPr>
      <w:r>
        <w:t>Confirm whether the event constitutes a security incident</w:t>
      </w:r>
    </w:p>
    <w:p>
      <w:pPr>
        <w:pStyle w:val="ListBullet"/>
      </w:pPr>
      <w:r>
        <w:t>Assign initial severity classification</w:t>
      </w:r>
    </w:p>
    <w:p>
      <w:pPr>
        <w:pStyle w:val="ListBullet"/>
      </w:pPr>
      <w:r>
        <w:t>Activate the incident response team if P1 or P2</w:t>
      </w:r>
    </w:p>
    <w:p>
      <w:pPr>
        <w:pStyle w:val="Heading2"/>
      </w:pPr>
      <w:r>
        <w:t>5.2 Phase 2 — Containment</w:t>
      </w:r>
    </w:p>
    <w:p>
      <w:r>
        <w:t>Short-term containment:</w:t>
      </w:r>
    </w:p>
    <w:p>
      <w:pPr>
        <w:pStyle w:val="ListBullet"/>
      </w:pPr>
      <w:r>
        <w:t>Isolate affected systems from the network</w:t>
      </w:r>
    </w:p>
    <w:p>
      <w:pPr>
        <w:pStyle w:val="ListBullet"/>
      </w:pPr>
      <w:r>
        <w:t>Revoke compromised credentials and tokens immediately</w:t>
      </w:r>
    </w:p>
    <w:p>
      <w:pPr>
        <w:pStyle w:val="ListBullet"/>
      </w:pPr>
      <w:r>
        <w:t>Block malicious IP addresses or user accounts</w:t>
      </w:r>
    </w:p>
    <w:p>
      <w:pPr>
        <w:pStyle w:val="ListBullet"/>
      </w:pPr>
      <w:r>
        <w:t>Disable compromised features or endpoints</w:t>
      </w:r>
    </w:p>
    <w:p>
      <w:r>
        <w:t>Long-term containment:</w:t>
      </w:r>
    </w:p>
    <w:p>
      <w:pPr>
        <w:pStyle w:val="ListBullet"/>
      </w:pPr>
      <w:r>
        <w:t>Apply temporary patches or workarounds</w:t>
      </w:r>
    </w:p>
    <w:p>
      <w:pPr>
        <w:pStyle w:val="ListBullet"/>
      </w:pPr>
      <w:r>
        <w:t>Implement additional monitoring on affected systems</w:t>
      </w:r>
    </w:p>
    <w:p>
      <w:pPr>
        <w:pStyle w:val="ListBullet"/>
      </w:pPr>
      <w:r>
        <w:t>Preserve evidence for forensic analysis</w:t>
      </w:r>
    </w:p>
    <w:p>
      <w:pPr>
        <w:pStyle w:val="Heading2"/>
      </w:pPr>
      <w:r>
        <w:t>5.3 Phase 3 — Eradication</w:t>
      </w:r>
    </w:p>
    <w:p>
      <w:pPr>
        <w:pStyle w:val="ListBullet"/>
      </w:pPr>
      <w:r>
        <w:t>Identify and eliminate the root cause</w:t>
      </w:r>
    </w:p>
    <w:p>
      <w:pPr>
        <w:pStyle w:val="ListBullet"/>
      </w:pPr>
      <w:r>
        <w:t>Remove malicious code, backdoors, or unauthorized access</w:t>
      </w:r>
    </w:p>
    <w:p>
      <w:pPr>
        <w:pStyle w:val="ListBullet"/>
      </w:pPr>
      <w:r>
        <w:t>Patch vulnerabilities that were exploited</w:t>
      </w:r>
    </w:p>
    <w:p>
      <w:pPr>
        <w:pStyle w:val="ListBullet"/>
      </w:pPr>
      <w:r>
        <w:t>Rotate all potentially compromised secrets</w:t>
      </w:r>
    </w:p>
    <w:p>
      <w:pPr>
        <w:pStyle w:val="ListBullet"/>
      </w:pPr>
      <w:r>
        <w:t>Rebuild compromised systems from known-good sources</w:t>
      </w:r>
    </w:p>
    <w:p>
      <w:pPr>
        <w:pStyle w:val="Heading2"/>
      </w:pPr>
      <w:r>
        <w:t>5.4 Phase 4 — Recovery</w:t>
      </w:r>
    </w:p>
    <w:p>
      <w:pPr>
        <w:pStyle w:val="ListBullet"/>
      </w:pPr>
      <w:r>
        <w:t>Restore systems from verified clean backups</w:t>
      </w:r>
    </w:p>
    <w:p>
      <w:pPr>
        <w:pStyle w:val="ListBullet"/>
      </w:pPr>
      <w:r>
        <w:t>Gradually return systems to production with enhanced monitoring</w:t>
      </w:r>
    </w:p>
    <w:p>
      <w:pPr>
        <w:pStyle w:val="ListBullet"/>
      </w:pPr>
      <w:r>
        <w:t>Verify system integrity before restoring full access</w:t>
      </w:r>
    </w:p>
    <w:p>
      <w:pPr>
        <w:pStyle w:val="ListBullet"/>
      </w:pPr>
      <w:r>
        <w:t>Monitor for signs of re-compromise</w:t>
      </w:r>
    </w:p>
    <w:p>
      <w:pPr>
        <w:pStyle w:val="Heading2"/>
      </w:pPr>
      <w:r>
        <w:t>5.5 Phase 5 — Lessons Learned</w:t>
      </w:r>
    </w:p>
    <w:p>
      <w:pPr>
        <w:pStyle w:val="ListBullet"/>
      </w:pPr>
      <w:r>
        <w:t>Conduct a blameless post-incident review within [5 BUSINESS DAYS]</w:t>
      </w:r>
    </w:p>
    <w:p>
      <w:pPr>
        <w:pStyle w:val="ListBullet"/>
      </w:pPr>
      <w:r>
        <w:t>Document the timeline, root cause, impact, and response actions</w:t>
      </w:r>
    </w:p>
    <w:p>
      <w:pPr>
        <w:pStyle w:val="ListBullet"/>
      </w:pPr>
      <w:r>
        <w:t>Identify improvements to prevent recurrence</w:t>
      </w:r>
    </w:p>
    <w:p>
      <w:pPr>
        <w:pStyle w:val="ListBullet"/>
      </w:pPr>
      <w:r>
        <w:t>Update runbooks, procedures, and detection rules</w:t>
      </w:r>
    </w:p>
    <w:p>
      <w:pPr>
        <w:pStyle w:val="ListBullet"/>
      </w:pPr>
      <w:r>
        <w:t>Share sanitized findings with the broader team</w:t>
      </w:r>
    </w:p>
    <w:p>
      <w:pPr>
        <w:pStyle w:val="Heading1"/>
      </w:pPr>
      <w:r>
        <w:t>6. Communication Procedures</w:t>
      </w:r>
    </w:p>
    <w:p>
      <w:pPr>
        <w:pStyle w:val="Heading2"/>
      </w:pPr>
      <w:r>
        <w:t>6.1 Internal Communication</w:t>
      </w:r>
    </w:p>
    <w:p>
      <w:pPr>
        <w:pStyle w:val="ListBullet"/>
      </w:pPr>
      <w:r>
        <w:t>P1/P2: Notify [EXECUTIVE LEADERSHIP] within [1 HOUR]</w:t>
      </w:r>
    </w:p>
    <w:p>
      <w:pPr>
        <w:pStyle w:val="ListBullet"/>
      </w:pPr>
      <w:r>
        <w:t>All incidents: Update status in [INCIDENT TRACKING SYSTEM] every [FREQUENCY]</w:t>
      </w:r>
    </w:p>
    <w:p>
      <w:pPr>
        <w:pStyle w:val="ListBullet"/>
      </w:pPr>
      <w:r>
        <w:t>Use designated secure communication channel: [CHANNEL]</w:t>
      </w:r>
    </w:p>
    <w:p>
      <w:pPr>
        <w:pStyle w:val="Heading2"/>
      </w:pPr>
      <w:r>
        <w:t>6.2 External Communication</w:t>
      </w:r>
    </w:p>
    <w:p>
      <w:pPr>
        <w:pStyle w:val="ListBullet"/>
      </w:pPr>
      <w:r>
        <w:t>Customer notification: Per [ORGANIZATION NAME] breach notification policy and contractual obligations</w:t>
      </w:r>
    </w:p>
    <w:p>
      <w:pPr>
        <w:pStyle w:val="ListBullet"/>
      </w:pPr>
      <w:r>
        <w:t>Regulatory notification: Per applicable regulations (e.g., GDPR 72-hour requirement)</w:t>
      </w:r>
    </w:p>
    <w:p>
      <w:pPr>
        <w:pStyle w:val="ListBullet"/>
      </w:pPr>
      <w:r>
        <w:t>Law enforcement: At the direction of Legal/Compliance</w:t>
      </w:r>
    </w:p>
    <w:p>
      <w:pPr>
        <w:pStyle w:val="ListBullet"/>
      </w:pPr>
      <w:r>
        <w:t>All external communications must be approved by [COMMUNICATIONS LEAD / LEGAL]</w:t>
      </w:r>
    </w:p>
    <w:p>
      <w:pPr>
        <w:pStyle w:val="Heading1"/>
      </w:pPr>
      <w:r>
        <w:t>7. Development-Specific Runbooks</w:t>
      </w:r>
    </w:p>
    <w:p>
      <w:r>
        <w:t>The following incident-specific runbooks shall be maintained:</w:t>
      </w:r>
    </w:p>
    <w:p>
      <w:pPr>
        <w:pStyle w:val="ListBullet"/>
      </w:pPr>
      <w:r>
        <w:t>Secret/credential exposure in source code</w:t>
      </w:r>
    </w:p>
    <w:p>
      <w:pPr>
        <w:pStyle w:val="ListBullet"/>
      </w:pPr>
      <w:r>
        <w:t>Compromised CI/CD pipeline</w:t>
      </w:r>
    </w:p>
    <w:p>
      <w:pPr>
        <w:pStyle w:val="ListBullet"/>
      </w:pPr>
      <w:r>
        <w:t>Malicious dependency detected</w:t>
      </w:r>
    </w:p>
    <w:p>
      <w:pPr>
        <w:pStyle w:val="ListBullet"/>
      </w:pPr>
      <w:r>
        <w:t>Production data exposure</w:t>
      </w:r>
    </w:p>
    <w:p>
      <w:pPr>
        <w:pStyle w:val="ListBullet"/>
      </w:pPr>
      <w:r>
        <w:t>Account/identity compromise</w:t>
      </w:r>
    </w:p>
    <w:p>
      <w:pPr>
        <w:pStyle w:val="ListBullet"/>
      </w:pPr>
      <w:r>
        <w:t>Ransomware or destructive attack</w:t>
      </w:r>
    </w:p>
    <w:p>
      <w:pPr>
        <w:pStyle w:val="Heading1"/>
      </w:pPr>
      <w:r>
        <w:t>8. Testing and Exercises</w:t>
      </w:r>
    </w:p>
    <w:p>
      <w:pPr>
        <w:pStyle w:val="ListBullet"/>
      </w:pPr>
      <w:r>
        <w:t>Tabletop exercises: [QUARTERLY/SEMI-ANNUALLY]</w:t>
      </w:r>
    </w:p>
    <w:p>
      <w:pPr>
        <w:pStyle w:val="ListBullet"/>
      </w:pPr>
      <w:r>
        <w:t>Technical simulation exercises: [ANNUALLY]</w:t>
      </w:r>
    </w:p>
    <w:p>
      <w:pPr>
        <w:pStyle w:val="ListBullet"/>
      </w:pPr>
      <w:r>
        <w:t>Plan review and update: After each real incident and at least [ANNUALLY]</w:t>
      </w:r>
    </w:p>
    <w:p>
      <w:pPr>
        <w:pStyle w:val="Heading1"/>
      </w:pPr>
      <w:r>
        <w:t>9. Review Cycle</w:t>
      </w:r>
    </w:p>
    <w:p>
      <w:r>
        <w:t>This plan shall be reviewed and updated annually, after each significant incident, and after each exercise.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