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AI Acceptable Use Policy</w:t>
        <w:br/>
        <w:t>for Software Development</w:t>
      </w:r>
    </w:p>
    <w:p>
      <w:pPr>
        <w:jc w:val="center"/>
      </w:pPr>
      <w:r>
        <w:rPr>
          <w:color w:val="64748B"/>
          <w:sz w:val="28"/>
        </w:rPr>
        <w:t>Three-Tier AI Tool Classification Framework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This policy establishes acceptable use requirements for Artificial Intelligence (AI) tools and services used in software development activities at [ORGANIZATION NAME]. It defines a three-tier classification framework to manage risk while enabling responsible AI adoption.</w:t>
      </w:r>
    </w:p>
    <w:p>
      <w:pPr>
        <w:pStyle w:val="Heading1"/>
      </w:pPr>
      <w:r>
        <w:t>2. Scope</w:t>
      </w:r>
    </w:p>
    <w:p>
      <w:r>
        <w:t>This policy applies to all AI tools, models, copilots, code assistants, and generative AI services used by [ORGANIZATION NAME] personnel in software development, testing, documentation, and related activities.</w:t>
      </w:r>
    </w:p>
    <w:p>
      <w:pPr>
        <w:pStyle w:val="Heading1"/>
      </w:pPr>
      <w:r>
        <w:t>3. Three-Tier AI Tool Classification</w:t>
      </w:r>
    </w:p>
    <w:p>
      <w:pPr>
        <w:pStyle w:val="Heading2"/>
      </w:pPr>
      <w:r>
        <w:t>3.1 Tier 1 — Approved (Unrestricted Use)</w:t>
      </w:r>
    </w:p>
    <w:p>
      <w:r>
        <w:t>AI tools that have been formally evaluated, risk-assessed, and approved for use with [ORGANIZATION NAME] data.</w:t>
      </w:r>
    </w:p>
    <w:p>
      <w:r>
        <w:t>Requirements:</w:t>
      </w:r>
    </w:p>
    <w:p>
      <w:pPr>
        <w:pStyle w:val="ListBullet"/>
      </w:pPr>
      <w:r>
        <w:t>Enterprise license with data processing agreement (DPA) in place</w:t>
      </w:r>
    </w:p>
    <w:p>
      <w:pPr>
        <w:pStyle w:val="ListBullet"/>
      </w:pPr>
      <w:r>
        <w:t>Data remains within [ORGANIZATION NAME] tenant or is not transmitted externally</w:t>
      </w:r>
    </w:p>
    <w:p>
      <w:pPr>
        <w:pStyle w:val="ListBullet"/>
      </w:pPr>
      <w:r>
        <w:t>Tool has passed security and privacy review</w:t>
      </w:r>
    </w:p>
    <w:p>
      <w:pPr>
        <w:pStyle w:val="ListBullet"/>
      </w:pPr>
      <w:r>
        <w:t>Approved for use with internal and confidential data (subject to data classification)</w:t>
      </w:r>
    </w:p>
    <w:p>
      <w:r>
        <w:t>Approved Tier 1 Tools: [LIST APPROVED TOOLS HERE]</w:t>
      </w:r>
    </w:p>
    <w:p>
      <w:pPr>
        <w:pStyle w:val="Heading2"/>
      </w:pPr>
      <w:r>
        <w:t>3.2 Tier 2 — Conditionally Approved (Restricted Use)</w:t>
      </w:r>
    </w:p>
    <w:p>
      <w:r>
        <w:t>AI tools approved for limited use cases with specific restrictions.</w:t>
      </w:r>
    </w:p>
    <w:p>
      <w:r>
        <w:t>Requirements:</w:t>
      </w:r>
    </w:p>
    <w:p>
      <w:pPr>
        <w:pStyle w:val="ListBullet"/>
      </w:pPr>
      <w:r>
        <w:t>May only be used with public or non-sensitive data</w:t>
      </w:r>
    </w:p>
    <w:p>
      <w:pPr>
        <w:pStyle w:val="ListBullet"/>
      </w:pPr>
      <w:r>
        <w:t>No proprietary source code, customer data, or credentials may be submitted</w:t>
      </w:r>
    </w:p>
    <w:p>
      <w:pPr>
        <w:pStyle w:val="ListBullet"/>
      </w:pPr>
      <w:r>
        <w:t>Outputs must be reviewed and validated before use</w:t>
      </w:r>
    </w:p>
    <w:p>
      <w:pPr>
        <w:pStyle w:val="ListBullet"/>
      </w:pPr>
      <w:r>
        <w:t>Usage must be logged and attributable</w:t>
      </w:r>
    </w:p>
    <w:p>
      <w:r>
        <w:t>Approved Tier 2 Tools: [LIST CONDITIONALLY APPROVED TOOLS HERE]</w:t>
      </w:r>
    </w:p>
    <w:p>
      <w:pPr>
        <w:pStyle w:val="Heading2"/>
      </w:pPr>
      <w:r>
        <w:t>3.3 Tier 3 — Prohibited</w:t>
      </w:r>
    </w:p>
    <w:p>
      <w:r>
        <w:t>AI tools that have not been evaluated or have been assessed and rejected.</w:t>
      </w:r>
    </w:p>
    <w:p>
      <w:pPr>
        <w:pStyle w:val="ListBullet"/>
      </w:pPr>
      <w:r>
        <w:t>Use of Tier 3 tools for any work-related purpose is prohibited</w:t>
      </w:r>
    </w:p>
    <w:p>
      <w:pPr>
        <w:pStyle w:val="ListBullet"/>
      </w:pPr>
      <w:r>
        <w:t>Personnel must not submit any [ORGANIZATION NAME] data to unevaluated AI services</w:t>
      </w:r>
    </w:p>
    <w:p>
      <w:pPr>
        <w:pStyle w:val="ListBullet"/>
      </w:pPr>
      <w:r>
        <w:t>Requests to evaluate new tools should be submitted to [SECURITY TEAM/AI GOVERNANCE BOARD]</w:t>
      </w:r>
    </w:p>
    <w:p>
      <w:pPr>
        <w:pStyle w:val="Heading1"/>
      </w:pPr>
      <w:r>
        <w:t>4. General Use Requirements</w:t>
      </w:r>
    </w:p>
    <w:p>
      <w:pPr>
        <w:pStyle w:val="ListBullet"/>
      </w:pPr>
      <w:r>
        <w:t>All AI-generated code must undergo the same review processes as human-written code</w:t>
      </w:r>
    </w:p>
    <w:p>
      <w:pPr>
        <w:pStyle w:val="ListBullet"/>
      </w:pPr>
      <w:r>
        <w:t>AI-generated code must be reviewed for security vulnerabilities before merging</w:t>
      </w:r>
    </w:p>
    <w:p>
      <w:pPr>
        <w:pStyle w:val="ListBullet"/>
      </w:pPr>
      <w:r>
        <w:t>Developers are responsible for the correctness and security of AI-assisted output</w:t>
      </w:r>
    </w:p>
    <w:p>
      <w:pPr>
        <w:pStyle w:val="ListBullet"/>
      </w:pPr>
      <w:r>
        <w:t>AI tools shall not be used to circumvent security controls or code review requirements</w:t>
      </w:r>
    </w:p>
    <w:p>
      <w:pPr>
        <w:pStyle w:val="ListBullet"/>
      </w:pPr>
      <w:r>
        <w:t>Sensitive data (credentials, PII, proprietary algorithms) shall never be provided as AI prompts</w:t>
      </w:r>
    </w:p>
    <w:p>
      <w:pPr>
        <w:pStyle w:val="ListBullet"/>
      </w:pPr>
      <w:r>
        <w:t>AI-generated outputs must comply with [ORGANIZATION NAME] licensing requirements</w:t>
      </w:r>
    </w:p>
    <w:p>
      <w:pPr>
        <w:pStyle w:val="Heading1"/>
      </w:pPr>
      <w:r>
        <w:t>5. Data Handling Rules</w:t>
      </w:r>
    </w:p>
    <w:p>
      <w:r>
        <w:t>The following data classification rules apply to AI tool interactions:</w:t>
      </w:r>
    </w:p>
    <w:p>
      <w:pPr>
        <w:pStyle w:val="ListBullet"/>
      </w:pPr>
      <w:r>
        <w:t>Public data — May be used with Tier 1 and Tier 2 tools</w:t>
      </w:r>
    </w:p>
    <w:p>
      <w:pPr>
        <w:pStyle w:val="ListBullet"/>
      </w:pPr>
      <w:r>
        <w:t>Internal data — May be used with Tier 1 tools only</w:t>
      </w:r>
    </w:p>
    <w:p>
      <w:pPr>
        <w:pStyle w:val="ListBullet"/>
      </w:pPr>
      <w:r>
        <w:t>Confidential data — May be used with Tier 1 tools only, with additional safeguards</w:t>
      </w:r>
    </w:p>
    <w:p>
      <w:pPr>
        <w:pStyle w:val="ListBullet"/>
      </w:pPr>
      <w:r>
        <w:t>Restricted data — Shall not be submitted to any AI tool without explicit CISO approval</w:t>
      </w:r>
    </w:p>
    <w:p>
      <w:pPr>
        <w:pStyle w:val="Heading1"/>
      </w:pPr>
      <w:r>
        <w:t>6. Attribution and Licensing</w:t>
      </w:r>
    </w:p>
    <w:p>
      <w:r>
        <w:t>AI-generated code must be documented and attributed. Development teams shall maintain records of significant AI contributions for licensing compliance and intellectual property tracking.</w:t>
      </w:r>
    </w:p>
    <w:p>
      <w:pPr>
        <w:pStyle w:val="Heading1"/>
      </w:pPr>
      <w:r>
        <w:t>7. Monitoring and Compliance</w:t>
      </w:r>
    </w:p>
    <w:p>
      <w:r>
        <w:t>[ORGANIZATION NAME] reserves the right to monitor AI tool usage for compliance with this policy. Periodic audits shall be conducted to verify adherence.</w:t>
      </w:r>
    </w:p>
    <w:p>
      <w:pPr>
        <w:pStyle w:val="Heading1"/>
      </w:pPr>
      <w:r>
        <w:t>8. Incident Reporting</w:t>
      </w:r>
    </w:p>
    <w:p>
      <w:r>
        <w:t>Personnel who suspect a data exposure through an AI tool, or who discover unauthorized AI tool usage, shall report the incident to [SECURITY TEAM] immediately via [INCIDENT REPORTING CHANNEL].</w:t>
      </w:r>
    </w:p>
    <w:p>
      <w:pPr>
        <w:pStyle w:val="Heading1"/>
      </w:pPr>
      <w:r>
        <w:t>9. Exceptions</w:t>
      </w:r>
    </w:p>
    <w:p>
      <w:r>
        <w:t>Exceptions to this policy require written approval from [AI GOVERNANCE BOARD / CISO] and must be time-limited with defined risk mitigations.</w:t>
      </w:r>
    </w:p>
    <w:p>
      <w:pPr>
        <w:pStyle w:val="Heading1"/>
      </w:pPr>
      <w:r>
        <w:t>10. Review Cycle</w:t>
      </w:r>
    </w:p>
    <w:p>
      <w:r>
        <w:t>This policy shall be reviewed quarterly due to the rapidly evolving AI landscape, or immediately when significant new AI capabilities or risks emerge.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